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259" w:rsidRDefault="00C43C46">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sidR="00CE5265">
        <w:rPr>
          <w:rFonts w:ascii="Times New Roman" w:eastAsia="黑体" w:hAnsi="Times New Roman" w:cs="Times New Roman"/>
          <w:sz w:val="32"/>
          <w:szCs w:val="32"/>
        </w:rPr>
        <w:t>3</w:t>
      </w:r>
      <w:bookmarkStart w:id="0" w:name="_GoBack"/>
      <w:bookmarkEnd w:id="0"/>
    </w:p>
    <w:p w:rsidR="006C3259" w:rsidRDefault="006C3259">
      <w:pPr>
        <w:spacing w:line="560" w:lineRule="exact"/>
        <w:rPr>
          <w:rFonts w:ascii="Times New Roman" w:hAnsi="Times New Roman" w:cs="Times New Roman"/>
          <w:szCs w:val="21"/>
        </w:rPr>
      </w:pPr>
    </w:p>
    <w:p w:rsidR="006C3259" w:rsidRDefault="00C43C46">
      <w:pPr>
        <w:spacing w:line="560" w:lineRule="exact"/>
        <w:jc w:val="center"/>
        <w:rPr>
          <w:rFonts w:ascii="Times New Roman" w:eastAsia="方正小标宋简体" w:hAnsi="Times New Roman" w:cs="Times New Roman"/>
          <w:color w:val="000000"/>
          <w:sz w:val="44"/>
          <w:szCs w:val="44"/>
        </w:rPr>
      </w:pPr>
      <w:r>
        <w:rPr>
          <w:rFonts w:ascii="Times New Roman" w:eastAsia="方正小标宋简体" w:hAnsi="Times New Roman" w:cs="Times New Roman"/>
          <w:color w:val="000000"/>
          <w:sz w:val="44"/>
          <w:szCs w:val="44"/>
        </w:rPr>
        <w:t>第十三届</w:t>
      </w:r>
      <w:r>
        <w:rPr>
          <w:rFonts w:ascii="Times New Roman" w:eastAsia="方正小标宋简体" w:hAnsi="Times New Roman" w:cs="Times New Roman"/>
          <w:color w:val="000000"/>
          <w:sz w:val="44"/>
          <w:szCs w:val="44"/>
        </w:rPr>
        <w:t>“</w:t>
      </w:r>
      <w:r>
        <w:rPr>
          <w:rFonts w:ascii="Times New Roman" w:eastAsia="方正小标宋简体" w:hAnsi="Times New Roman" w:cs="Times New Roman"/>
          <w:color w:val="000000"/>
          <w:sz w:val="44"/>
          <w:szCs w:val="44"/>
        </w:rPr>
        <w:t>挑战杯</w:t>
      </w:r>
      <w:r>
        <w:rPr>
          <w:rFonts w:ascii="Times New Roman" w:eastAsia="方正小标宋简体" w:hAnsi="Times New Roman" w:cs="Times New Roman"/>
          <w:color w:val="000000"/>
          <w:sz w:val="44"/>
          <w:szCs w:val="44"/>
        </w:rPr>
        <w:t>”</w:t>
      </w:r>
      <w:r>
        <w:rPr>
          <w:rFonts w:ascii="Times New Roman" w:eastAsia="方正小标宋简体" w:hAnsi="Times New Roman" w:cs="Times New Roman"/>
          <w:color w:val="000000"/>
          <w:sz w:val="44"/>
          <w:szCs w:val="44"/>
        </w:rPr>
        <w:t>甘肃省大学生课外学术</w:t>
      </w:r>
    </w:p>
    <w:p w:rsidR="006C3259" w:rsidRDefault="00C43C46">
      <w:pPr>
        <w:spacing w:line="560" w:lineRule="exact"/>
        <w:jc w:val="center"/>
        <w:rPr>
          <w:rFonts w:ascii="Times New Roman" w:eastAsia="仿宋_GB2312" w:hAnsi="Times New Roman" w:cs="Times New Roman"/>
          <w:color w:val="000000"/>
          <w:sz w:val="32"/>
          <w:szCs w:val="32"/>
        </w:rPr>
      </w:pPr>
      <w:r>
        <w:rPr>
          <w:rFonts w:ascii="Times New Roman" w:eastAsia="方正小标宋简体" w:hAnsi="Times New Roman" w:cs="Times New Roman"/>
          <w:color w:val="000000"/>
          <w:sz w:val="44"/>
          <w:szCs w:val="44"/>
        </w:rPr>
        <w:t>科技作品竞赛评审规则</w:t>
      </w:r>
    </w:p>
    <w:p w:rsidR="006C3259" w:rsidRDefault="006C3259">
      <w:pPr>
        <w:spacing w:line="560" w:lineRule="exact"/>
        <w:ind w:firstLineChars="200" w:firstLine="440"/>
        <w:rPr>
          <w:rFonts w:ascii="Times New Roman" w:hAnsi="Times New Roman" w:cs="Times New Roman"/>
          <w:szCs w:val="21"/>
        </w:rPr>
      </w:pP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一、本规则依据《</w:t>
      </w:r>
      <w:r>
        <w:rPr>
          <w:rFonts w:ascii="Times New Roman" w:eastAsia="黑体" w:hAnsi="Times New Roman" w:cs="Times New Roman"/>
          <w:sz w:val="32"/>
          <w:szCs w:val="32"/>
        </w:rPr>
        <w:t>“</w:t>
      </w:r>
      <w:r>
        <w:rPr>
          <w:rFonts w:ascii="Times New Roman" w:eastAsia="黑体" w:hAnsi="Times New Roman" w:cs="Times New Roman"/>
          <w:sz w:val="32"/>
          <w:szCs w:val="32"/>
        </w:rPr>
        <w:t>挑战杯</w:t>
      </w:r>
      <w:r>
        <w:rPr>
          <w:rFonts w:ascii="Times New Roman" w:eastAsia="黑体" w:hAnsi="Times New Roman" w:cs="Times New Roman"/>
          <w:sz w:val="32"/>
          <w:szCs w:val="32"/>
        </w:rPr>
        <w:t>”</w:t>
      </w:r>
      <w:r>
        <w:rPr>
          <w:rFonts w:ascii="Times New Roman" w:eastAsia="黑体" w:hAnsi="Times New Roman" w:cs="Times New Roman"/>
          <w:sz w:val="32"/>
          <w:szCs w:val="32"/>
        </w:rPr>
        <w:t>甘肃省大学生课外学术科技作品竞赛章程》制定，全省评审委员会依据本规则制定评审实施细则。</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二、全省评审委员会的组成</w:t>
      </w:r>
    </w:p>
    <w:p w:rsidR="006C3259" w:rsidRDefault="00C43C46">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全省评审委员会由主办单位聘请非高校的具有高级职称的自然科学领域的专家或高科技企业的技术骨干和哲学社会科学领域的专家组成。全省评审委员会设</w:t>
      </w:r>
      <w:r>
        <w:rPr>
          <w:rFonts w:ascii="Times New Roman" w:eastAsia="仿宋_GB2312" w:hAnsi="Times New Roman" w:cs="Times New Roman"/>
          <w:color w:val="000000"/>
          <w:sz w:val="32"/>
          <w:szCs w:val="32"/>
        </w:rPr>
        <w:t>主任</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名，副主任若干名，秘书长</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名，副秘书长若干名。</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全省评审委员会下设由秘书长领导的秘书处，负责对参赛作品分类、统计、送阅和评审的组织服务工作。</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全省评审委员会成员名单在终审完毕之前实行保密，在终审结束后可以公布。</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全省评审委员会在向全省组委会报告终审结果后解散。</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三、评审工作的基本原则</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参赛作品分自然科学类学术论文、哲学社会科学类社会调查报告和学术论文、科技发明制作三类。自然科学类学术论文的作者限本专科（高职）生。哲学社会科学类社会调查报告和学术论文围绕发展成就、文明文化、美丽中国、民生福祉、中国之治和</w:t>
      </w:r>
      <w:proofErr w:type="gramStart"/>
      <w:r>
        <w:rPr>
          <w:rFonts w:ascii="Times New Roman" w:eastAsia="仿宋_GB2312" w:hAnsi="Times New Roman" w:cs="Times New Roman"/>
          <w:sz w:val="32"/>
          <w:szCs w:val="32"/>
        </w:rPr>
        <w:t>战疫</w:t>
      </w:r>
      <w:proofErr w:type="gramEnd"/>
      <w:r>
        <w:rPr>
          <w:rFonts w:ascii="Times New Roman" w:eastAsia="仿宋_GB2312" w:hAnsi="Times New Roman" w:cs="Times New Roman"/>
          <w:sz w:val="32"/>
          <w:szCs w:val="32"/>
        </w:rPr>
        <w:t>行动等</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个组别形成社会调查报告，也可以按</w:t>
      </w:r>
      <w:r>
        <w:rPr>
          <w:rFonts w:ascii="Times New Roman" w:eastAsia="仿宋_GB2312" w:hAnsi="Times New Roman" w:cs="Times New Roman"/>
          <w:sz w:val="32"/>
          <w:szCs w:val="32"/>
        </w:rPr>
        <w:lastRenderedPageBreak/>
        <w:t>照哲学、经济、社会、法律、教育、管理</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个学科报送社会调查报告和学术论文。</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评审过程中综合考虑作品的科学性、先进性、现实意义等方面因素。其中，自然科学类学术论文侧重考核基础学科学术探索的前沿性和学术性，哲学社会科学类社会调查报告和学术论文侧重考核与经济社会发展热点难点问题的结合程度和前瞻意义，科技发明制作侧重考核作品的应用价值和转化前景。</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全省评审委员会的评审工作分预审、终审两阶段进行。预审要评选出各高校报送作品的</w:t>
      </w:r>
      <w:r>
        <w:rPr>
          <w:rFonts w:ascii="Times New Roman" w:eastAsia="仿宋_GB2312" w:hAnsi="Times New Roman" w:cs="Times New Roman"/>
          <w:sz w:val="32"/>
          <w:szCs w:val="32"/>
        </w:rPr>
        <w:t>70%</w:t>
      </w:r>
      <w:r>
        <w:rPr>
          <w:rFonts w:ascii="Times New Roman" w:eastAsia="仿宋_GB2312" w:hAnsi="Times New Roman" w:cs="Times New Roman"/>
          <w:sz w:val="32"/>
          <w:szCs w:val="32"/>
        </w:rPr>
        <w:t>左右的作品入围获奖作品；评出入围作品中的</w:t>
      </w:r>
      <w:r>
        <w:rPr>
          <w:rFonts w:ascii="Times New Roman" w:eastAsia="仿宋_GB2312" w:hAnsi="Times New Roman" w:cs="Times New Roman"/>
          <w:sz w:val="32"/>
          <w:szCs w:val="32"/>
        </w:rPr>
        <w:t>55%</w:t>
      </w:r>
      <w:r>
        <w:rPr>
          <w:rFonts w:ascii="Times New Roman" w:eastAsia="仿宋_GB2312" w:hAnsi="Times New Roman" w:cs="Times New Roman"/>
          <w:sz w:val="32"/>
          <w:szCs w:val="32"/>
        </w:rPr>
        <w:t>获得三等奖，其余</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进入终审决赛。终审决赛评出特等奖、一等奖、二等奖。</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参赛作品按照入围作品</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15%</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27%</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55%</w:t>
      </w:r>
      <w:r>
        <w:rPr>
          <w:rFonts w:ascii="Times New Roman" w:eastAsia="仿宋_GB2312" w:hAnsi="Times New Roman" w:cs="Times New Roman"/>
          <w:color w:val="000000"/>
          <w:sz w:val="32"/>
          <w:szCs w:val="32"/>
        </w:rPr>
        <w:t>的比例评出特、一、二、三等奖。</w:t>
      </w:r>
      <w:r>
        <w:rPr>
          <w:rFonts w:ascii="Times New Roman" w:eastAsia="仿宋_GB2312" w:hAnsi="Times New Roman" w:cs="Times New Roman"/>
          <w:sz w:val="32"/>
          <w:szCs w:val="32"/>
        </w:rPr>
        <w:t>终审决赛期间设置复活赛，各高校可以在本校推荐至省级竞赛的作品中，选报一件未进入终审决赛的科技发明制作类作品（必须有实物或模型）参加复活赛，复活赛中复活约</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的作品参加终审决赛，未复活的作品按初赛成绩判定是否获奖及获奖等次。</w:t>
      </w:r>
    </w:p>
    <w:p w:rsidR="006C3259" w:rsidRDefault="00C43C46">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sz w:val="32"/>
          <w:szCs w:val="32"/>
        </w:rPr>
        <w:t>4.</w:t>
      </w:r>
      <w:r>
        <w:rPr>
          <w:rFonts w:ascii="Times New Roman" w:eastAsia="仿宋_GB2312" w:hAnsi="Times New Roman" w:cs="Times New Roman"/>
          <w:color w:val="000000"/>
          <w:sz w:val="32"/>
          <w:szCs w:val="32"/>
        </w:rPr>
        <w:t>评审注意专科生、本科生、硕士研究生在学识水平和科研能力上的差异，各学历层次作者的作品各等奖的获奖比例原则上与其进入终审的比例基本一致。</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涉及需由有关部门出具证明材料的参赛作品，须按章程第四章第十八条的规定严格把关。</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评审实行回避制度和保密制度。评委须严格遵守《评审纪律》，评审前须签订《评审纪律承诺书》评委不得参与其本</w:t>
      </w:r>
      <w:r>
        <w:rPr>
          <w:rFonts w:ascii="Times New Roman" w:eastAsia="仿宋_GB2312" w:hAnsi="Times New Roman" w:cs="Times New Roman"/>
          <w:sz w:val="32"/>
          <w:szCs w:val="32"/>
        </w:rPr>
        <w:lastRenderedPageBreak/>
        <w:t>人亲属、学生或与其有直接利益关系的个人和单位的有关作品评审工作。在评审结束之前，任何评委不得以任何方式对外宣布、泄露评审情况和结果。</w:t>
      </w:r>
    </w:p>
    <w:p w:rsidR="006C3259" w:rsidRDefault="00C43C46">
      <w:pPr>
        <w:spacing w:line="560" w:lineRule="exact"/>
        <w:ind w:firstLineChars="200" w:firstLine="640"/>
        <w:rPr>
          <w:rFonts w:ascii="Times New Roman" w:eastAsia="华文仿宋"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全省评审委员会的评审工作按《评审实施细则》规定执行。</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四、评审程序</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各高校要按照《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全省大学生课外学术科技作品竞赛资格及形式审查实施细则》的规定，对报送的作品进行严格的资格和形式审查，高校赛事机构对报送作品进行认真的初评。</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全省组委会秘书处对各高校报送的参赛作品进行资格及形式审查</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不合格作品取消参赛资格。</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自然科学类学术论文、哲学社会科学类社会调查报告和学术论文、科技发明制作类的作品在承办单位所在地进行预审，预审要提出是否进入终审和获奖等级初步意见，选出一定比例作品进行展示。</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终审决赛期间，评委在组委会安排的专门时间集体到展厅审看发明制作类作品的实物。</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终审决赛一律实行公开答辩制。</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评委可以对所评审的作品的资格提出质疑，并提出质疑理由、证据或线索。受到评委质疑的作品，将提交全省组委会按程序评定其参赛资格。</w:t>
      </w:r>
    </w:p>
    <w:p w:rsidR="006C3259" w:rsidRDefault="00C43C4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评委会应于终审开始时在主任的主持下召开评委会全体会议，听取组委会对竞赛活动情况的通报。</w:t>
      </w:r>
    </w:p>
    <w:p w:rsidR="006C3259" w:rsidRDefault="00C43C4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lastRenderedPageBreak/>
        <w:t>五、各高校初评工作，由该高校赛事机构参照上述规则主持。</w:t>
      </w:r>
    </w:p>
    <w:p w:rsidR="006C3259" w:rsidRDefault="00C43C46" w:rsidP="00302673">
      <w:pPr>
        <w:spacing w:line="560" w:lineRule="exact"/>
        <w:ind w:firstLineChars="200" w:firstLine="640"/>
        <w:rPr>
          <w:rFonts w:ascii="Times New Roman" w:eastAsia="黑体" w:hAnsi="Times New Roman" w:cs="Times New Roman"/>
          <w:sz w:val="32"/>
          <w:szCs w:val="32"/>
          <w:lang w:val="en-US"/>
        </w:rPr>
      </w:pPr>
      <w:r>
        <w:rPr>
          <w:rFonts w:ascii="Times New Roman" w:eastAsia="黑体" w:hAnsi="Times New Roman" w:cs="Times New Roman"/>
          <w:sz w:val="32"/>
          <w:szCs w:val="32"/>
        </w:rPr>
        <w:t>六、本规则由竞赛主办单位负责解释，并由主办单位根据全省组委会的意见修改。</w:t>
      </w:r>
      <w:r>
        <w:rPr>
          <w:rFonts w:ascii="Times New Roman" w:eastAsia="仿宋_GB2312" w:hAnsi="Times New Roman" w:cs="Times New Roman"/>
          <w:color w:val="000000"/>
          <w:sz w:val="28"/>
          <w:szCs w:val="28"/>
        </w:rPr>
        <w:t xml:space="preserve"> </w:t>
      </w:r>
    </w:p>
    <w:sectPr w:rsidR="006C3259">
      <w:footerReference w:type="default" r:id="rId9"/>
      <w:pgSz w:w="11906" w:h="16838"/>
      <w:pgMar w:top="1701" w:right="1417" w:bottom="1361" w:left="181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DFE" w:rsidRDefault="004A1DFE">
      <w:r>
        <w:separator/>
      </w:r>
    </w:p>
  </w:endnote>
  <w:endnote w:type="continuationSeparator" w:id="0">
    <w:p w:rsidR="004A1DFE" w:rsidRDefault="004A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DLF-32769-4-151717942">
    <w:altName w:val="Arial"/>
    <w:charset w:val="00"/>
    <w:family w:val="swiss"/>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1" w:usb1="080E0000" w:usb2="00000000" w:usb3="00000000" w:csb0="00040000" w:csb1="00000000"/>
  </w:font>
  <w:font w:name="方正大标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48" w:rsidRDefault="00944248">
    <w:pPr>
      <w:pStyle w:val="a4"/>
      <w:spacing w:line="14" w:lineRule="auto"/>
      <w:rPr>
        <w:sz w:val="20"/>
      </w:rPr>
    </w:pPr>
    <w:r>
      <w:rPr>
        <w:noProof/>
        <w:sz w:val="20"/>
        <w:lang w:val="en-US"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CE5265">
                            <w:rPr>
                              <w:noProof/>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CE5265">
                      <w:rPr>
                        <w:noProof/>
                        <w:sz w:val="28"/>
                        <w:szCs w:val="28"/>
                      </w:rPr>
                      <w:t>- 4 -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DFE" w:rsidRDefault="004A1DFE">
      <w:r>
        <w:separator/>
      </w:r>
    </w:p>
  </w:footnote>
  <w:footnote w:type="continuationSeparator" w:id="0">
    <w:p w:rsidR="004A1DFE" w:rsidRDefault="004A1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868102"/>
    <w:multiLevelType w:val="singleLevel"/>
    <w:tmpl w:val="ED868102"/>
    <w:lvl w:ilvl="0">
      <w:start w:val="1"/>
      <w:numFmt w:val="decimal"/>
      <w:suff w:val="space"/>
      <w:lvlText w:val="%1."/>
      <w:lvlJc w:val="left"/>
    </w:lvl>
  </w:abstractNum>
  <w:abstractNum w:abstractNumId="1">
    <w:nsid w:val="11FBC624"/>
    <w:multiLevelType w:val="singleLevel"/>
    <w:tmpl w:val="11FBC624"/>
    <w:lvl w:ilvl="0">
      <w:start w:val="1"/>
      <w:numFmt w:val="chineseCounting"/>
      <w:suff w:val="nothing"/>
      <w:lvlText w:val="%1、"/>
      <w:lvlJc w:val="left"/>
      <w:rPr>
        <w:rFonts w:hint="eastAsia"/>
      </w:rPr>
    </w:lvl>
  </w:abstractNum>
  <w:abstractNum w:abstractNumId="2">
    <w:nsid w:val="1AE90780"/>
    <w:multiLevelType w:val="multilevel"/>
    <w:tmpl w:val="1AE90780"/>
    <w:lvl w:ilvl="0">
      <w:start w:val="2"/>
      <w:numFmt w:val="bullet"/>
      <w:lvlText w:val="□"/>
      <w:lvlJc w:val="left"/>
      <w:pPr>
        <w:ind w:left="2570" w:hanging="360"/>
      </w:pPr>
      <w:rPr>
        <w:rFonts w:ascii="华文仿宋" w:eastAsia="华文仿宋" w:hAnsi="华文仿宋" w:cs="DLF-32769-4-151717942" w:hint="eastAsia"/>
      </w:rPr>
    </w:lvl>
    <w:lvl w:ilvl="1">
      <w:start w:val="1"/>
      <w:numFmt w:val="bullet"/>
      <w:lvlText w:val=""/>
      <w:lvlJc w:val="left"/>
      <w:pPr>
        <w:ind w:left="3050" w:hanging="420"/>
      </w:pPr>
      <w:rPr>
        <w:rFonts w:ascii="Wingdings" w:hAnsi="Wingdings" w:hint="default"/>
      </w:rPr>
    </w:lvl>
    <w:lvl w:ilvl="2">
      <w:start w:val="1"/>
      <w:numFmt w:val="bullet"/>
      <w:lvlText w:val=""/>
      <w:lvlJc w:val="left"/>
      <w:pPr>
        <w:ind w:left="3470" w:hanging="420"/>
      </w:pPr>
      <w:rPr>
        <w:rFonts w:ascii="Wingdings" w:hAnsi="Wingdings" w:hint="default"/>
      </w:rPr>
    </w:lvl>
    <w:lvl w:ilvl="3">
      <w:start w:val="1"/>
      <w:numFmt w:val="bullet"/>
      <w:lvlText w:val=""/>
      <w:lvlJc w:val="left"/>
      <w:pPr>
        <w:ind w:left="3890" w:hanging="420"/>
      </w:pPr>
      <w:rPr>
        <w:rFonts w:ascii="Wingdings" w:hAnsi="Wingdings" w:hint="default"/>
      </w:rPr>
    </w:lvl>
    <w:lvl w:ilvl="4">
      <w:start w:val="1"/>
      <w:numFmt w:val="bullet"/>
      <w:lvlText w:val=""/>
      <w:lvlJc w:val="left"/>
      <w:pPr>
        <w:ind w:left="4310" w:hanging="420"/>
      </w:pPr>
      <w:rPr>
        <w:rFonts w:ascii="Wingdings" w:hAnsi="Wingdings" w:hint="default"/>
      </w:rPr>
    </w:lvl>
    <w:lvl w:ilvl="5">
      <w:start w:val="1"/>
      <w:numFmt w:val="bullet"/>
      <w:lvlText w:val=""/>
      <w:lvlJc w:val="left"/>
      <w:pPr>
        <w:ind w:left="4730" w:hanging="420"/>
      </w:pPr>
      <w:rPr>
        <w:rFonts w:ascii="Wingdings" w:hAnsi="Wingdings" w:hint="default"/>
      </w:rPr>
    </w:lvl>
    <w:lvl w:ilvl="6">
      <w:start w:val="1"/>
      <w:numFmt w:val="bullet"/>
      <w:lvlText w:val=""/>
      <w:lvlJc w:val="left"/>
      <w:pPr>
        <w:ind w:left="5150" w:hanging="420"/>
      </w:pPr>
      <w:rPr>
        <w:rFonts w:ascii="Wingdings" w:hAnsi="Wingdings" w:hint="default"/>
      </w:rPr>
    </w:lvl>
    <w:lvl w:ilvl="7">
      <w:start w:val="1"/>
      <w:numFmt w:val="bullet"/>
      <w:lvlText w:val=""/>
      <w:lvlJc w:val="left"/>
      <w:pPr>
        <w:ind w:left="5570" w:hanging="420"/>
      </w:pPr>
      <w:rPr>
        <w:rFonts w:ascii="Wingdings" w:hAnsi="Wingdings" w:hint="default"/>
      </w:rPr>
    </w:lvl>
    <w:lvl w:ilvl="8">
      <w:start w:val="1"/>
      <w:numFmt w:val="bullet"/>
      <w:lvlText w:val=""/>
      <w:lvlJc w:val="left"/>
      <w:pPr>
        <w:ind w:left="5990" w:hanging="420"/>
      </w:pPr>
      <w:rPr>
        <w:rFonts w:ascii="Wingdings" w:hAnsi="Wingdings" w:hint="default"/>
      </w:rPr>
    </w:lvl>
  </w:abstractNum>
  <w:abstractNum w:abstractNumId="3">
    <w:nsid w:val="3F826CB6"/>
    <w:multiLevelType w:val="singleLevel"/>
    <w:tmpl w:val="3F826CB6"/>
    <w:lvl w:ilvl="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B26FA"/>
    <w:rsid w:val="000224AF"/>
    <w:rsid w:val="000329E6"/>
    <w:rsid w:val="00043C6D"/>
    <w:rsid w:val="00073426"/>
    <w:rsid w:val="000F502B"/>
    <w:rsid w:val="00110097"/>
    <w:rsid w:val="00131990"/>
    <w:rsid w:val="00143BEC"/>
    <w:rsid w:val="00143C4E"/>
    <w:rsid w:val="00181A64"/>
    <w:rsid w:val="001B5E1C"/>
    <w:rsid w:val="0020202E"/>
    <w:rsid w:val="00212E24"/>
    <w:rsid w:val="0024714E"/>
    <w:rsid w:val="00265DFD"/>
    <w:rsid w:val="00270EDB"/>
    <w:rsid w:val="00274369"/>
    <w:rsid w:val="00277B58"/>
    <w:rsid w:val="002D21F4"/>
    <w:rsid w:val="00302673"/>
    <w:rsid w:val="0033485D"/>
    <w:rsid w:val="00380A0F"/>
    <w:rsid w:val="00385AA1"/>
    <w:rsid w:val="0039395D"/>
    <w:rsid w:val="0039573E"/>
    <w:rsid w:val="00396F93"/>
    <w:rsid w:val="003C0C77"/>
    <w:rsid w:val="003D51A5"/>
    <w:rsid w:val="0041757A"/>
    <w:rsid w:val="00475BCE"/>
    <w:rsid w:val="0048192D"/>
    <w:rsid w:val="004A1DFE"/>
    <w:rsid w:val="004C03DB"/>
    <w:rsid w:val="004D7C8E"/>
    <w:rsid w:val="005115AA"/>
    <w:rsid w:val="0054012A"/>
    <w:rsid w:val="005743BA"/>
    <w:rsid w:val="005B420A"/>
    <w:rsid w:val="005C24D1"/>
    <w:rsid w:val="00622617"/>
    <w:rsid w:val="00642012"/>
    <w:rsid w:val="00664EE2"/>
    <w:rsid w:val="00667AB0"/>
    <w:rsid w:val="00687092"/>
    <w:rsid w:val="00696528"/>
    <w:rsid w:val="006C3259"/>
    <w:rsid w:val="006D486A"/>
    <w:rsid w:val="006F54C7"/>
    <w:rsid w:val="00706DB3"/>
    <w:rsid w:val="00786C9A"/>
    <w:rsid w:val="0079296C"/>
    <w:rsid w:val="007A5E1E"/>
    <w:rsid w:val="007F0C9B"/>
    <w:rsid w:val="007F1361"/>
    <w:rsid w:val="007F6C9D"/>
    <w:rsid w:val="0087012E"/>
    <w:rsid w:val="008D64C5"/>
    <w:rsid w:val="008E09C2"/>
    <w:rsid w:val="008F3275"/>
    <w:rsid w:val="009069DE"/>
    <w:rsid w:val="00914B57"/>
    <w:rsid w:val="00944248"/>
    <w:rsid w:val="00966992"/>
    <w:rsid w:val="009D6C51"/>
    <w:rsid w:val="009F219D"/>
    <w:rsid w:val="00A27188"/>
    <w:rsid w:val="00A3267C"/>
    <w:rsid w:val="00A738C6"/>
    <w:rsid w:val="00AA1FE2"/>
    <w:rsid w:val="00AA6F22"/>
    <w:rsid w:val="00AC6931"/>
    <w:rsid w:val="00AD2A68"/>
    <w:rsid w:val="00B22504"/>
    <w:rsid w:val="00B2678A"/>
    <w:rsid w:val="00B27B30"/>
    <w:rsid w:val="00B374DD"/>
    <w:rsid w:val="00B65C0D"/>
    <w:rsid w:val="00BB4BB6"/>
    <w:rsid w:val="00C43C46"/>
    <w:rsid w:val="00C55D0C"/>
    <w:rsid w:val="00C80CCA"/>
    <w:rsid w:val="00C84EFB"/>
    <w:rsid w:val="00C85603"/>
    <w:rsid w:val="00CB08EC"/>
    <w:rsid w:val="00CC5A22"/>
    <w:rsid w:val="00CE5265"/>
    <w:rsid w:val="00CF2A7C"/>
    <w:rsid w:val="00CF4DA1"/>
    <w:rsid w:val="00D064C3"/>
    <w:rsid w:val="00D51EF7"/>
    <w:rsid w:val="00D6421A"/>
    <w:rsid w:val="00DA1EA4"/>
    <w:rsid w:val="00DC1D2F"/>
    <w:rsid w:val="00DC3B7E"/>
    <w:rsid w:val="00DF7F4A"/>
    <w:rsid w:val="00E024AC"/>
    <w:rsid w:val="00EC1100"/>
    <w:rsid w:val="00EF271A"/>
    <w:rsid w:val="00F30B3A"/>
    <w:rsid w:val="00FA0420"/>
    <w:rsid w:val="00FC4D01"/>
    <w:rsid w:val="01EB2AD6"/>
    <w:rsid w:val="048B26FA"/>
    <w:rsid w:val="04C62021"/>
    <w:rsid w:val="05BA6A42"/>
    <w:rsid w:val="08920843"/>
    <w:rsid w:val="08B9634E"/>
    <w:rsid w:val="09201CE2"/>
    <w:rsid w:val="099E7326"/>
    <w:rsid w:val="0DB45E30"/>
    <w:rsid w:val="0F3147EA"/>
    <w:rsid w:val="10E16E70"/>
    <w:rsid w:val="1EAE336D"/>
    <w:rsid w:val="20B50B0B"/>
    <w:rsid w:val="22B53DFF"/>
    <w:rsid w:val="26B06004"/>
    <w:rsid w:val="26B2504F"/>
    <w:rsid w:val="27E742EC"/>
    <w:rsid w:val="2B2A3DC0"/>
    <w:rsid w:val="2CF81D9E"/>
    <w:rsid w:val="33DE0408"/>
    <w:rsid w:val="36EB52A4"/>
    <w:rsid w:val="37D1102B"/>
    <w:rsid w:val="3AB01B8E"/>
    <w:rsid w:val="3E036018"/>
    <w:rsid w:val="428271FE"/>
    <w:rsid w:val="44B90D60"/>
    <w:rsid w:val="45DB5B3E"/>
    <w:rsid w:val="49D25824"/>
    <w:rsid w:val="4AC80141"/>
    <w:rsid w:val="4E1C36AF"/>
    <w:rsid w:val="4E962A35"/>
    <w:rsid w:val="503D4DF4"/>
    <w:rsid w:val="50837274"/>
    <w:rsid w:val="52B53ED9"/>
    <w:rsid w:val="55D55748"/>
    <w:rsid w:val="5EAD3E84"/>
    <w:rsid w:val="640920FD"/>
    <w:rsid w:val="73F318C0"/>
    <w:rsid w:val="748D0770"/>
    <w:rsid w:val="75634B85"/>
    <w:rsid w:val="781935AC"/>
    <w:rsid w:val="7B8A3F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DCD4B11-3147-49A7-9271-44157802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532" w:right="692"/>
      <w:jc w:val="center"/>
      <w:outlineLvl w:val="0"/>
    </w:pPr>
    <w:rPr>
      <w:rFonts w:ascii="PMingLiU" w:eastAsia="PMingLiU" w:hAnsi="PMingLiU" w:cs="PMingLiU"/>
      <w:sz w:val="44"/>
      <w:szCs w:val="44"/>
    </w:rPr>
  </w:style>
  <w:style w:type="paragraph" w:styleId="2">
    <w:name w:val="heading 2"/>
    <w:basedOn w:val="a"/>
    <w:next w:val="a"/>
    <w:uiPriority w:val="9"/>
    <w:unhideWhenUsed/>
    <w:qFormat/>
    <w:pPr>
      <w:ind w:left="3217" w:right="770" w:hanging="2617"/>
      <w:outlineLvl w:val="1"/>
    </w:pPr>
    <w:rPr>
      <w:sz w:val="39"/>
      <w:szCs w:val="39"/>
    </w:rPr>
  </w:style>
  <w:style w:type="paragraph" w:styleId="3">
    <w:name w:val="heading 3"/>
    <w:basedOn w:val="a"/>
    <w:next w:val="a"/>
    <w:uiPriority w:val="9"/>
    <w:unhideWhenUsed/>
    <w:qFormat/>
    <w:pPr>
      <w:ind w:left="708"/>
      <w:outlineLvl w:val="2"/>
    </w:pPr>
    <w:rPr>
      <w:sz w:val="30"/>
      <w:szCs w:val="30"/>
    </w:rPr>
  </w:style>
  <w:style w:type="paragraph" w:styleId="4">
    <w:name w:val="heading 4"/>
    <w:basedOn w:val="a"/>
    <w:next w:val="a"/>
    <w:uiPriority w:val="9"/>
    <w:unhideWhenUsed/>
    <w:qFormat/>
    <w:pPr>
      <w:ind w:left="496"/>
      <w:outlineLvl w:val="3"/>
    </w:pPr>
    <w:rPr>
      <w:sz w:val="29"/>
      <w:szCs w:val="29"/>
    </w:rPr>
  </w:style>
  <w:style w:type="paragraph" w:styleId="5">
    <w:name w:val="heading 5"/>
    <w:basedOn w:val="a"/>
    <w:next w:val="a"/>
    <w:uiPriority w:val="9"/>
    <w:unhideWhenUsed/>
    <w:qFormat/>
    <w:pPr>
      <w:ind w:left="1143"/>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Body Text"/>
    <w:basedOn w:val="a"/>
    <w:uiPriority w:val="1"/>
    <w:qFormat/>
    <w:pPr>
      <w:spacing w:before="214"/>
      <w:ind w:left="120"/>
    </w:pPr>
    <w:rPr>
      <w:sz w:val="32"/>
      <w:szCs w:val="32"/>
    </w:rPr>
  </w:style>
  <w:style w:type="paragraph" w:styleId="a5">
    <w:name w:val="Body Text Indent"/>
    <w:basedOn w:val="a"/>
    <w:qFormat/>
    <w:pPr>
      <w:spacing w:line="640" w:lineRule="exact"/>
      <w:ind w:firstLine="630"/>
    </w:pPr>
    <w:rPr>
      <w:rFonts w:ascii="仿宋_GB2312" w:eastAsia="仿宋_GB2312"/>
      <w:sz w:val="32"/>
    </w:rPr>
  </w:style>
  <w:style w:type="paragraph" w:styleId="a6">
    <w:name w:val="Balloon Text"/>
    <w:basedOn w:val="a"/>
    <w:link w:val="Char0"/>
    <w:qFormat/>
    <w:rPr>
      <w:sz w:val="18"/>
      <w:szCs w:val="18"/>
    </w:rPr>
  </w:style>
  <w:style w:type="paragraph" w:styleId="a7">
    <w:name w:val="footer"/>
    <w:basedOn w:val="a"/>
    <w:link w:val="Char1"/>
    <w:uiPriority w:val="99"/>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Autospacing="1" w:after="100" w:afterAutospacing="1"/>
    </w:pPr>
    <w:rPr>
      <w:sz w:val="24"/>
      <w:szCs w:val="24"/>
    </w:rPr>
  </w:style>
  <w:style w:type="paragraph" w:styleId="aa">
    <w:name w:val="Title"/>
    <w:basedOn w:val="a"/>
    <w:next w:val="a"/>
    <w:uiPriority w:val="10"/>
    <w:qFormat/>
    <w:pPr>
      <w:jc w:val="center"/>
      <w:outlineLvl w:val="0"/>
    </w:pPr>
    <w:rPr>
      <w:rFonts w:ascii="方正大标宋简体" w:eastAsia="方正大标宋简体" w:hAnsi="方正大标宋简体"/>
      <w:bCs/>
      <w:sz w:val="44"/>
      <w:szCs w:val="32"/>
    </w:rPr>
  </w:style>
  <w:style w:type="paragraph" w:styleId="ab">
    <w:name w:val="annotation subject"/>
    <w:basedOn w:val="a3"/>
    <w:next w:val="a3"/>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rPr>
  </w:style>
  <w:style w:type="character" w:styleId="ae">
    <w:name w:val="page number"/>
    <w:basedOn w:val="a0"/>
    <w:qFormat/>
  </w:style>
  <w:style w:type="character" w:styleId="af">
    <w:name w:val="Hyperlink"/>
    <w:basedOn w:val="a0"/>
    <w:qFormat/>
    <w:rPr>
      <w:color w:val="0000FF"/>
      <w:u w:val="single"/>
    </w:rPr>
  </w:style>
  <w:style w:type="character" w:styleId="af0">
    <w:name w:val="annotation reference"/>
    <w:basedOn w:val="a0"/>
    <w:qFormat/>
    <w:rPr>
      <w:sz w:val="21"/>
      <w:szCs w:val="21"/>
    </w:rPr>
  </w:style>
  <w:style w:type="paragraph" w:customStyle="1" w:styleId="Char4">
    <w:name w:val="Char"/>
    <w:basedOn w:val="a"/>
    <w:qFormat/>
    <w:rPr>
      <w:szCs w:val="20"/>
    </w:rPr>
  </w:style>
  <w:style w:type="paragraph" w:styleId="af1">
    <w:name w:val="List Paragraph"/>
    <w:basedOn w:val="a"/>
    <w:uiPriority w:val="1"/>
    <w:qFormat/>
    <w:pPr>
      <w:ind w:left="541" w:hanging="429"/>
    </w:pPr>
  </w:style>
  <w:style w:type="paragraph" w:customStyle="1" w:styleId="TableParagraph">
    <w:name w:val="Table Paragraph"/>
    <w:basedOn w:val="a"/>
    <w:uiPriority w:val="1"/>
    <w:qFormat/>
    <w:pPr>
      <w:jc w:val="center"/>
    </w:pPr>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Char">
    <w:name w:val="批注文字 Char"/>
    <w:basedOn w:val="a0"/>
    <w:link w:val="a3"/>
    <w:qFormat/>
    <w:rPr>
      <w:rFonts w:ascii="宋体" w:hAnsi="宋体" w:cs="宋体"/>
      <w:sz w:val="22"/>
      <w:szCs w:val="22"/>
      <w:lang w:val="zh-CN" w:bidi="zh-CN"/>
    </w:rPr>
  </w:style>
  <w:style w:type="character" w:customStyle="1" w:styleId="Char3">
    <w:name w:val="批注主题 Char"/>
    <w:basedOn w:val="Char"/>
    <w:link w:val="ab"/>
    <w:qFormat/>
    <w:rPr>
      <w:rFonts w:ascii="宋体" w:hAnsi="宋体" w:cs="宋体"/>
      <w:b/>
      <w:bCs/>
      <w:sz w:val="22"/>
      <w:szCs w:val="22"/>
      <w:lang w:val="zh-CN" w:bidi="zh-CN"/>
    </w:rPr>
  </w:style>
  <w:style w:type="character" w:customStyle="1" w:styleId="Char0">
    <w:name w:val="批注框文本 Char"/>
    <w:basedOn w:val="a0"/>
    <w:link w:val="a6"/>
    <w:qFormat/>
    <w:rPr>
      <w:rFonts w:ascii="宋体" w:hAnsi="宋体" w:cs="宋体"/>
      <w:sz w:val="18"/>
      <w:szCs w:val="18"/>
      <w:lang w:val="zh-CN" w:bidi="zh-CN"/>
    </w:rPr>
  </w:style>
  <w:style w:type="character" w:customStyle="1" w:styleId="Char2">
    <w:name w:val="页眉 Char"/>
    <w:basedOn w:val="a0"/>
    <w:link w:val="a8"/>
    <w:qFormat/>
    <w:rPr>
      <w:rFonts w:ascii="宋体" w:hAnsi="宋体" w:cs="宋体"/>
      <w:sz w:val="18"/>
      <w:szCs w:val="18"/>
      <w:lang w:val="zh-CN" w:bidi="zh-CN"/>
    </w:rPr>
  </w:style>
  <w:style w:type="character" w:customStyle="1" w:styleId="Char1">
    <w:name w:val="页脚 Char"/>
    <w:basedOn w:val="a0"/>
    <w:link w:val="a7"/>
    <w:uiPriority w:val="99"/>
    <w:qFormat/>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9557B-420B-4A26-B703-2B98E408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240</Words>
  <Characters>1370</Characters>
  <Application>Microsoft Office Word</Application>
  <DocSecurity>0</DocSecurity>
  <Lines>11</Lines>
  <Paragraphs>3</Paragraphs>
  <ScaleCrop>false</ScaleCrop>
  <Company>china</Company>
  <LinksUpToDate>false</LinksUpToDate>
  <CharactersWithSpaces>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c:creator>
  <cp:lastModifiedBy>11</cp:lastModifiedBy>
  <cp:revision>3</cp:revision>
  <cp:lastPrinted>2021-03-04T07:23:00Z</cp:lastPrinted>
  <dcterms:created xsi:type="dcterms:W3CDTF">2021-03-04T11:45:00Z</dcterms:created>
  <dcterms:modified xsi:type="dcterms:W3CDTF">2021-03-04T12:02:00Z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